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国家自然科学基金项目结题报告要点（2026 年度）</w:t>
      </w:r>
    </w:p>
    <w:p>
      <w:r>
        <w:rPr>
          <w:i/>
          <w:sz w:val="18"/>
        </w:rPr>
        <w:t>整理：知韬统计研究室，2026 年 11 月。内容摘自国家自然科学基金委员会官网发布的《2026 年度国家自然科学基金项目指南》“申请规定”、《关于 2026 年度国家自然科学基金项目申请与结题等有关事项的通告》和申请书改版说明，仅作参考；2027 年度要求以基金委届时发布的指南和通告为准。官网：https://www.nsfc.gov.cn</w:t>
      </w:r>
    </w:p>
    <w:p>
      <w:pPr>
        <w:pStyle w:val="Heading1"/>
      </w:pPr>
      <w:r>
        <w:t>一、流程</w:t>
      </w:r>
    </w:p>
    <w:p>
      <w:pPr>
        <w:pStyle w:val="ListBullet"/>
      </w:pPr>
      <w:r>
        <w:t>项目负责人撰写结题（成果）报告，先在线提交；审核通过后打印、签字，纸质原件交依托单位。</w:t>
      </w:r>
    </w:p>
    <w:p>
      <w:pPr>
        <w:pStyle w:val="ListBullet"/>
      </w:pPr>
      <w:r>
        <w:t>2026 年度：依托单位在线审核截止 2026 年 2 月 24 日 16 时，纸质材料 2026 年 3 月 9 日前邮寄。逾期或材料不全按逾期处理，并计入限项。往后年度以当年通告为准。</w:t>
      </w:r>
    </w:p>
    <w:p>
      <w:pPr>
        <w:pStyle w:val="Heading1"/>
      </w:pPr>
      <w:r>
        <w:t>二、经费决算</w:t>
      </w:r>
    </w:p>
    <w:p>
      <w:pPr>
        <w:pStyle w:val="ListBullet"/>
      </w:pPr>
      <w:r>
        <w:t>决算以 12 月 31 日为截止日（指南另有规定的除外），截止日后的支出列入结余，填报数据须与账目一致。</w:t>
      </w:r>
    </w:p>
    <w:p>
      <w:pPr>
        <w:pStyle w:val="ListBullet"/>
      </w:pPr>
      <w:r>
        <w:t>结余资金比例超过 30% 的，须在结题报告中说明原因和后续使用计划。</w:t>
      </w:r>
    </w:p>
    <w:p>
      <w:pPr>
        <w:pStyle w:val="ListBullet"/>
      </w:pPr>
      <w:r>
        <w:t>准予结题的项目结余资金留归依托单位统筹用于基础研究；不予结题的须按原渠道退回。</w:t>
      </w:r>
    </w:p>
    <w:p>
      <w:pPr>
        <w:pStyle w:val="Heading1"/>
      </w:pPr>
      <w:r>
        <w:t>三、成果填报不能列入的内容</w:t>
      </w:r>
    </w:p>
    <w:p>
      <w:pPr>
        <w:pStyle w:val="ListBullet"/>
      </w:pPr>
      <w:r>
        <w:t>未发表或未在线发表的论文；</w:t>
      </w:r>
    </w:p>
    <w:p>
      <w:pPr>
        <w:pStyle w:val="ListBullet"/>
      </w:pPr>
      <w:r>
        <w:t>未标注国家自然科学基金资助及项目批准号的论文；</w:t>
      </w:r>
    </w:p>
    <w:p>
      <w:pPr>
        <w:pStyle w:val="ListBullet"/>
      </w:pPr>
      <w:r>
        <w:t>非项目参与人员取得的成果、与项目无关的成果、项目批准前取得的成果；</w:t>
      </w:r>
    </w:p>
    <w:p>
      <w:pPr>
        <w:pStyle w:val="ListBullet"/>
      </w:pPr>
      <w:r>
        <w:t>照抄论文原文作为报告内容。</w:t>
      </w:r>
    </w:p>
    <w:p>
      <w:pPr>
        <w:pStyle w:val="Heading1"/>
      </w:pPr>
      <w:r>
        <w:t>四、其他</w:t>
      </w:r>
    </w:p>
    <w:p>
      <w:pPr>
        <w:pStyle w:val="ListBullet"/>
      </w:pPr>
      <w:r>
        <w:t>受资助发表的论文须上传至基金委开放获取平台 OAR（https://oar.nsfc.cn）。</w:t>
      </w:r>
    </w:p>
    <w:p>
      <w:pPr>
        <w:pStyle w:val="ListBullet"/>
      </w:pPr>
      <w:r>
        <w:t>鼓励填报科学普及类成果。</w:t>
      </w:r>
    </w:p>
    <w:p>
      <w:pPr>
        <w:pStyle w:val="ListBullet"/>
      </w:pPr>
      <w:r>
        <w:t>结题报告同样须如实撰写，相关诚信要求与申请阶段一致。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